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98.png" ContentType="image/png"/>
  <Override PartName="/word/media/rId97.png" ContentType="image/png"/>
  <Override PartName="/word/media/rId94.png" ContentType="image/png"/>
  <Override PartName="/word/media/rId93.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30</w:t>
      </w:r>
      <w:r>
        <w:t xml:space="preserve"> </w:t>
      </w:r>
      <w:r>
        <w:t xml:space="preserve">December,</w:t>
      </w:r>
      <w:r>
        <w:t xml:space="preserve"> </w:t>
      </w:r>
      <w:r>
        <w:t xml:space="preserve">2021</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2"/>
    <w:bookmarkStart w:id="27"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3"/>
    <w:bookmarkStart w:id="24"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w:t>
      </w:r>
    </w:p>
    <w:bookmarkEnd w:id="24"/>
    <w:bookmarkStart w:id="25"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we assume all fish prey have the same energy densities as juvenile Chinook Salmon.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Chinook Salmon potentially consumed by all Northern Pikeminnow in Deadwater Slough, we multiplied the grams of fish consumed by an individual Northern Pikeminnow by the estimated predator population size during each period (fall and spring). The estimate of total biomass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6"/>
    <w:bookmarkEnd w:id="27"/>
    <w:bookmarkStart w:id="31" w:name="results"/>
    <w:p>
      <w:pPr>
        <w:pStyle w:val="Heading1"/>
      </w:pPr>
      <w:r>
        <w:t xml:space="preserve">Results</w:t>
      </w:r>
    </w:p>
    <w:bookmarkStart w:id="28" w:name="northern-pikeminnow-abundance-1"/>
    <w:p>
      <w:pPr>
        <w:pStyle w:val="Heading2"/>
      </w:pPr>
      <w:r>
        <w:t xml:space="preserve">Northern Pikeminnow Abundance</w:t>
      </w:r>
    </w:p>
    <w:p>
      <w:pPr>
        <w:pStyle w:val="FirstParagraph"/>
      </w:pPr>
      <w:r>
        <w:t xml:space="preserve">Using hook-and-line angling, we caught 664, 803, and 202 Northern Pikeminnow during the fall 2019, fall 2020, and spring 2021 efforts, respectively, for a total of 1,669 fish.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larger than the single census estimators. Confidence intervals for the fall 2020 effort were more varied, likely resulting from fewer recaptures in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28,144 (95% CI: 14,378 - 59,978). By multiplying the ratio (0.53) between the spring CPUE (0.81) and mean of the fall CPUEs (1.54), we estimated there to be 14,897 (95% CI: 7,610 - 31,747)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8"/>
    <w:bookmarkStart w:id="29" w:name="gastric-lavage-1"/>
    <w:p>
      <w:pPr>
        <w:pStyle w:val="Heading2"/>
      </w:pPr>
      <w:r>
        <w:t xml:space="preserve">Gastric Lavage</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 indicating the method was effective. Of the 1,564 Northern Pikeminnow sampled using gastric lavage, we found contents in some form in 350 (22.4%) stomachs and confirmed fish or fish parts in 44 (12.6%) of those. Northern Pikeminnow captured during the spring 2021 effort had a higher proportion of diets with fish contents (6.7%) than fish captured in the fall 2019 (1.8%) and fall 2020 (3.1%)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29"/>
    <w:bookmarkStart w:id="30"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r>
        <w:t xml:space="preserve"> </w:t>
      </w:r>
    </w:p>
    <w:bookmarkEnd w:id="30"/>
    <w:bookmarkEnd w:id="31"/>
    <w:bookmarkStart w:id="41"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approsimately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2"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Yet, angling methods may have a size selection bias, thereby limiting our abundance estimates to a size threshold susceptible to angling.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indicting that marked fish were still susceptible to angling.</w:t>
      </w:r>
      <w:r>
        <w:t xml:space="preserve"> </w:t>
      </w:r>
      <w:r>
        <w:t xml:space="preserve">We also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make marked fish less susceptible to capture. Violations of the assumption of equal catchability between marked and unmarked fish may lead to an overestimate of abundance of Northern Pikeminnow in our study if marked fish have lower catchability.</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p>
    <w:bookmarkEnd w:id="32"/>
    <w:bookmarkStart w:id="33" w:name="gastric-lavage-2"/>
    <w:p>
      <w:pPr>
        <w:pStyle w:val="Heading2"/>
      </w:pPr>
      <w:r>
        <w:t xml:space="preserve">Gastric Lavage</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(Hodgson and Cochran 1988)</w:t>
      </w:r>
      <w:r>
        <w:t xml:space="preserve">), and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results suggest.</w:t>
      </w:r>
      <w:r>
        <w:t xml:space="preserve"> </w:t>
      </w:r>
    </w:p>
    <w:bookmarkEnd w:id="33"/>
    <w:bookmarkStart w:id="34"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(Petersen and Ward 1999)</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4"/>
    <w:bookmarkStart w:id="35"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5"/>
    <w:bookmarkStart w:id="38"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6">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7">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8"/>
    <w:bookmarkStart w:id="39" w:name="management-implications"/>
    <w:p>
      <w:pPr>
        <w:pStyle w:val="Heading2"/>
      </w:pPr>
      <w:r>
        <w:t xml:space="preserve">Management Implications</w:t>
      </w:r>
    </w:p>
    <w:p>
      <w:pPr>
        <w:pStyle w:val="FirstParagraph"/>
      </w:pPr>
      <w:r>
        <w:t xml:space="preserve">Recovery of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hathchery populations which provide for recreational fishing opportunities. Consequently, reducing predation mortality at Deadwater Slough could potentially benefit multiple upriver natural and hatchery populations, including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9"/>
    <w:bookmarkStart w:id="40"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0"/>
    <w:bookmarkEnd w:id="41"/>
    <w:bookmarkStart w:id="42"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Funding for this study was provided by the Bureau of Reclamation, Pacific Northwest Regional Office (contract No. 140R1021F0018) with assistance from the Idaho Governor’s Office of Species Conservation.</w:t>
      </w:r>
    </w:p>
    <w:p>
      <w:r>
        <w:br w:type="page"/>
      </w:r>
    </w:p>
    <w:bookmarkEnd w:id="42"/>
    <w:bookmarkStart w:id="89" w:name="literature-cited"/>
    <w:p>
      <w:pPr>
        <w:pStyle w:val="Heading1"/>
      </w:pPr>
      <w:r>
        <w:t xml:space="preserve">Literature Cited</w:t>
      </w:r>
    </w:p>
    <w:bookmarkStart w:id="88" w:name="refs"/>
    <w:bookmarkStart w:id="43"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3"/>
    <w:bookmarkStart w:id="44"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4"/>
    <w:bookmarkStart w:id="45"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5"/>
    <w:bookmarkStart w:id="46"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6"/>
    <w:bookmarkStart w:id="47"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7"/>
    <w:bookmarkStart w:id="48"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9"/>
    <w:bookmarkStart w:id="50"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0"/>
    <w:bookmarkStart w:id="51"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1"/>
    <w:bookmarkStart w:id="52"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2"/>
    <w:bookmarkStart w:id="53"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3"/>
    <w:bookmarkStart w:id="54"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4"/>
    <w:bookmarkStart w:id="55"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5"/>
    <w:bookmarkStart w:id="56"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6"/>
    <w:bookmarkStart w:id="57"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7"/>
    <w:bookmarkStart w:id="58" w:name="ref-Hartleb1995"/>
    <w:p>
      <w:pPr>
        <w:pStyle w:val="Bibliography"/>
      </w:pPr>
      <w:r>
        <w:t xml:space="preserve">Hartleb, C. F., and J. R. Moring. 1995. An improved gastric lavage device for removing stomach contents from live fish. Fisheries Research 24(3):261–265.</w:t>
      </w:r>
    </w:p>
    <w:bookmarkEnd w:id="58"/>
    <w:bookmarkStart w:id="59"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59"/>
    <w:bookmarkStart w:id="60"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0"/>
    <w:bookmarkStart w:id="61"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1"/>
    <w:bookmarkStart w:id="62" w:name="ref-Kamler2001"/>
    <w:p>
      <w:pPr>
        <w:pStyle w:val="Bibliography"/>
      </w:pPr>
      <w:r>
        <w:t xml:space="preserve">Kamler, J. F., and K. L. Pope. 2001. Nonlethal methods of examining fish stomach contents. Reviews in Fisheries Science 9(1):1–11.</w:t>
      </w:r>
    </w:p>
    <w:bookmarkEnd w:id="62"/>
    <w:bookmarkStart w:id="63"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63"/>
    <w:bookmarkStart w:id="64"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4"/>
    <w:bookmarkStart w:id="6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5"/>
    <w:bookmarkStart w:id="6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6"/>
    <w:bookmarkStart w:id="6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7"/>
    <w:bookmarkStart w:id="6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8"/>
    <w:bookmarkStart w:id="6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9"/>
    <w:bookmarkStart w:id="7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0"/>
    <w:bookmarkStart w:id="71"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71"/>
    <w:bookmarkStart w:id="7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72"/>
    <w:bookmarkStart w:id="7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73"/>
    <w:bookmarkStart w:id="74"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4"/>
    <w:bookmarkStart w:id="75"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5"/>
    <w:bookmarkStart w:id="76"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6"/>
    <w:bookmarkStart w:id="77"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7"/>
    <w:bookmarkStart w:id="78"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8"/>
    <w:bookmarkStart w:id="79"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9"/>
    <w:bookmarkStart w:id="80"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80"/>
    <w:bookmarkStart w:id="8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81"/>
    <w:bookmarkStart w:id="8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82"/>
    <w:bookmarkStart w:id="8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83"/>
    <w:bookmarkStart w:id="84"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4"/>
    <w:bookmarkStart w:id="8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5"/>
    <w:bookmarkStart w:id="8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6"/>
    <w:bookmarkStart w:id="8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7"/>
    <w:bookmarkEnd w:id="88"/>
    <w:p>
      <w:r>
        <w:br w:type="page"/>
      </w:r>
    </w:p>
    <w:bookmarkEnd w:id="89"/>
    <w:bookmarkStart w:id="91" w:name="tables"/>
    <w:p>
      <w:pPr>
        <w:pStyle w:val="Heading1"/>
      </w:pPr>
      <w:r>
        <w:t xml:space="preserve">Tables</w:t>
      </w:r>
    </w:p>
    <w:bookmarkStart w:id="90" w:name="tables"/>
    <w:bookmarkEnd w:id="90"/>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91"/>
    <w:bookmarkStart w:id="100" w:name="figures"/>
    <w:p>
      <w:pPr>
        <w:pStyle w:val="Heading1"/>
      </w:pPr>
      <w:r>
        <w:t xml:space="preserve">Figures</w:t>
      </w:r>
    </w:p>
    <w:bookmarkStart w:id="92" w:name="figures"/>
    <w:bookmarkEnd w:id="92"/>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3"/>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9" w:name="colophon"/>
    <w:p>
      <w:pPr>
        <w:pStyle w:val="Heading3"/>
      </w:pPr>
      <w:r>
        <w:t xml:space="preserve">Colophon</w:t>
      </w:r>
    </w:p>
    <w:p>
      <w:pPr>
        <w:pStyle w:val="FirstParagraph"/>
      </w:pPr>
      <w:r>
        <w:t xml:space="preserve">This report was generated on 2021-12-30 13:47:00 using the following computational environment and dependencies:</w:t>
      </w:r>
    </w:p>
    <w:p>
      <w:pPr>
        <w:pStyle w:val="SourceCode"/>
      </w:pPr>
      <w:r>
        <w:rPr>
          <w:rStyle w:val="VerbatimChar"/>
        </w:rPr>
        <w:t xml:space="preserve">#&gt; - Session info  --------------------------------------------------------------</w:t>
      </w:r>
      <w:r>
        <w:br/>
      </w:r>
      <w:r>
        <w:rPr>
          <w:rStyle w:val="VerbatimChar"/>
        </w:rPr>
        <w:t xml:space="preserve">#&gt;  hash: Statue of Liberty, camping, heart with arrow</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2021-12-30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[5c8bf74] 2021-12-30: saved 20211230 draft</w:t>
      </w:r>
    </w:p>
    <w:bookmarkEnd w:id="99"/>
    <w:bookmarkEnd w:id="10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2021-12-30T20:47:02Z</dcterms:created>
  <dcterms:modified xsi:type="dcterms:W3CDTF">2021-12-30T20:47:02Z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